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有限公司供应商申请表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276"/>
        <w:gridCol w:w="2547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547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企业类型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国有独资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控股等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股份有限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非上市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个人独资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普通合伙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;</w:t>
            </w:r>
          </w:p>
        </w:tc>
        <w:tc>
          <w:tcPr>
            <w:tcW w:w="201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547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1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547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1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547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1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276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547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12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56C"/>
    <w:rsid w:val="1FF3056C"/>
    <w:rsid w:val="692D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2024-01-16T03:20:00Z</dcterms:created>
  <dc:creator>李耀星</dc:creator>
  <cp:lastModifiedBy>李耀星</cp:lastModifiedBy>
  <dcterms:modified xsi:type="dcterms:W3CDTF">2024-01-16T03:22:31Z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24713DC56B644C1B82915412B28295CD</vt:lpwstr>
  </property>
</Properties>
</file>